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2891345</wp:posOffset>
            </wp:positionH>
            <wp:positionV relativeFrom="page">
              <wp:posOffset>1148600</wp:posOffset>
            </wp:positionV>
            <wp:extent cx="4668647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647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9.42392pt;width:595.3pt;height:360pt;mso-position-horizontal-relative:page;mso-position-vertical-relative:paragraph;z-index:15728640" id="docshapegroup1" coordorigin="0,-7588" coordsize="11906,7200">
            <v:rect style="position:absolute;left:0;top:-7589;width:11906;height:7200" id="docshape2" filled="true" fillcolor="#2b3b46" stroked="false">
              <v:fill type="solid"/>
            </v:rect>
            <v:shape style="position:absolute;left:7937;top:-7178;width:3402;height:756" type="#_x0000_t75" id="docshape3" stroked="false">
              <v:imagedata r:id="rId6" o:title=""/>
            </v:shape>
            <v:shape style="position:absolute;left:4251;top:-2841;width:7654;height:693" type="#_x0000_t75" id="docshape4" stroked="false">
              <v:imagedata r:id="rId7" o:title=""/>
            </v:shape>
            <v:shape style="position:absolute;left:759;top:-1225;width:7830;height:693" type="#_x0000_t75" id="docshape5" stroked="false">
              <v:imagedata r:id="rId8" o:title=""/>
            </v:shape>
            <v:shape style="position:absolute;left:425;top:-3957;width:8051;height:2926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589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5"/>
                        <w:w w:val="95"/>
                        <w:sz w:val="60"/>
                      </w:rPr>
                      <w:t>C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5"/>
                        <w:w w:val="95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HelveticaNeueW01-66MediumIt"/>
                        <w:i/>
                        <w:color w:val="B7D433"/>
                        <w:spacing w:val="-15"/>
                        <w:w w:val="95"/>
                        <w:sz w:val="56"/>
                      </w:rPr>
                      <w:t>Designer</w:t>
                    </w:r>
                    <w:r>
                      <w:rPr>
                        <w:rFonts w:ascii="HelveticaNeueW01-66MediumIt"/>
                        <w:i/>
                        <w:color w:val="B7D433"/>
                        <w:spacing w:val="-67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Surface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line="218" w:lineRule="auto" w:before="171"/>
                      <w:ind w:left="720" w:right="520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9"/>
                        <w:w w:val="95"/>
                        <w:sz w:val="36"/>
                      </w:rPr>
                      <w:t>Premium</w:t>
                    </w:r>
                    <w:r>
                      <w:rPr>
                        <w:rFonts w:ascii="Trebuchet MS"/>
                        <w:color w:val="FFFFFF"/>
                        <w:spacing w:val="-48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9"/>
                        <w:w w:val="95"/>
                        <w:sz w:val="36"/>
                      </w:rPr>
                      <w:t>looks</w:t>
                    </w:r>
                    <w:r>
                      <w:rPr>
                        <w:rFonts w:ascii="Trebuchet MS"/>
                        <w:color w:val="FFFFFF"/>
                        <w:spacing w:val="-47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5"/>
                        <w:sz w:val="36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-48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5"/>
                        <w:sz w:val="36"/>
                      </w:rPr>
                      <w:t>premium</w:t>
                    </w:r>
                    <w:r>
                      <w:rPr>
                        <w:rFonts w:ascii="Trebuchet MS"/>
                        <w:color w:val="FFFFFF"/>
                        <w:spacing w:val="-47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5"/>
                        <w:sz w:val="36"/>
                      </w:rPr>
                      <w:t>performance</w:t>
                    </w:r>
                    <w:r>
                      <w:rPr>
                        <w:rFonts w:ascii="Trebuchet MS"/>
                        <w:color w:val="FFFFFF"/>
                        <w:spacing w:val="-100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9"/>
                        <w:w w:val="90"/>
                        <w:sz w:val="36"/>
                      </w:rPr>
                      <w:t>at</w:t>
                    </w:r>
                    <w:r>
                      <w:rPr>
                        <w:rFonts w:ascii="Trebuchet MS"/>
                        <w:color w:val="FFFFFF"/>
                        <w:spacing w:val="-44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9"/>
                        <w:w w:val="90"/>
                        <w:sz w:val="36"/>
                      </w:rPr>
                      <w:t>an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affordable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price</w:t>
                    </w:r>
                    <w:r>
                      <w:rPr>
                        <w:rFonts w:ascii="Trebuchet MS"/>
                        <w:color w:val="B7D433"/>
                        <w:spacing w:val="-8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2"/>
        <w:rPr>
          <w:b/>
          <w:i/>
          <w:sz w:val="33"/>
        </w:rPr>
      </w:pPr>
    </w:p>
    <w:p>
      <w:pPr>
        <w:pStyle w:val="BodyText"/>
        <w:spacing w:line="367" w:lineRule="exact" w:before="1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249" w:lineRule="auto"/>
        <w:ind w:left="719" w:right="525"/>
      </w:pPr>
      <w:r>
        <w:rPr/>
        <w:t>Structural welded Zinc coated frame to house critical components with an outer oval</w:t>
      </w:r>
      <w:r>
        <w:rPr>
          <w:spacing w:val="1"/>
        </w:rPr>
        <w:t> </w:t>
      </w:r>
      <w:r>
        <w:rPr/>
        <w:t>skin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either</w:t>
      </w:r>
      <w:r>
        <w:rPr>
          <w:spacing w:val="-4"/>
        </w:rPr>
        <w:t> </w:t>
      </w:r>
      <w:r>
        <w:rPr/>
        <w:t>brushed</w:t>
      </w:r>
      <w:r>
        <w:rPr>
          <w:spacing w:val="-4"/>
        </w:rPr>
        <w:t> </w:t>
      </w:r>
      <w:r>
        <w:rPr/>
        <w:t>stainless,</w:t>
      </w:r>
      <w:r>
        <w:rPr>
          <w:spacing w:val="-3"/>
        </w:rPr>
        <w:t> </w:t>
      </w:r>
      <w:r>
        <w:rPr/>
        <w:t>polished</w:t>
      </w:r>
      <w:r>
        <w:rPr>
          <w:spacing w:val="-3"/>
        </w:rPr>
        <w:t> </w:t>
      </w:r>
      <w:r>
        <w:rPr/>
        <w:t>stainless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painted</w:t>
      </w:r>
      <w:r>
        <w:rPr>
          <w:spacing w:val="-4"/>
        </w:rPr>
        <w:t> </w:t>
      </w:r>
      <w:r>
        <w:rPr/>
        <w:t>finishes.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249" w:lineRule="auto" w:before="14"/>
        <w:ind w:left="719" w:right="914"/>
        <w:jc w:val="both"/>
      </w:pPr>
      <w:r>
        <w:rPr/>
        <w:t>The discharge grille is an extruded aluminium teardrop profile that allows deflection</w:t>
      </w:r>
      <w:r>
        <w:rPr>
          <w:spacing w:val="-75"/>
        </w:rPr>
        <w:t> </w:t>
      </w:r>
      <w:r>
        <w:rPr/>
        <w:t>of the air stream to either the inside or outside of the building to overcome external</w:t>
      </w:r>
      <w:r>
        <w:rPr>
          <w:spacing w:val="-75"/>
        </w:rPr>
        <w:t> </w:t>
      </w:r>
      <w:r>
        <w:rPr/>
        <w:t>pressures.</w:t>
      </w:r>
    </w:p>
    <w:p>
      <w:pPr>
        <w:pStyle w:val="BodyText"/>
        <w:spacing w:before="7"/>
        <w:rPr>
          <w:sz w:val="29"/>
        </w:rPr>
      </w:pPr>
    </w:p>
    <w:p>
      <w:pPr>
        <w:spacing w:line="370" w:lineRule="exact" w:before="0"/>
        <w:ind w:left="719" w:right="0" w:firstLine="0"/>
        <w:jc w:val="left"/>
        <w:rPr>
          <w:sz w:val="28"/>
        </w:rPr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line="249" w:lineRule="auto"/>
        <w:ind w:left="720" w:right="772"/>
      </w:pPr>
      <w:r>
        <w:rPr/>
        <w:pict>
          <v:group style="position:absolute;margin-left:594.776001pt;margin-top:57.950138pt;width:1pt;height:85.2pt;mso-position-horizontal-relative:page;mso-position-vertical-relative:paragraph;z-index:15729152" id="docshapegroup8" coordorigin="11896,1159" coordsize="20,1704">
            <v:shape style="position:absolute;left:11905;top:1159;width:2;height:1704" id="docshape9" coordorigin="11906,1159" coordsize="0,1704" path="m11906,1159l11906,2862,11906,1159xe" filled="true" fillcolor="#2b3b46" stroked="false">
              <v:path arrowok="t"/>
              <v:fill type="solid"/>
            </v:shape>
            <v:shape style="position:absolute;left:11905;top:1159;width:2;height:1704" id="docshape10" coordorigin="11906,1159" coordsize="0,1704" path="m11906,1159l11906,2862,11906,1159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Each unit has a factory balanced tangential fan powered by a 4 pole AC split phase</w:t>
      </w:r>
      <w:r>
        <w:rPr>
          <w:spacing w:val="1"/>
        </w:rPr>
        <w:t> </w:t>
      </w:r>
      <w:r>
        <w:rPr/>
        <w:t>capacitor motor with integral thermal protection. The high specification motors</w:t>
      </w:r>
      <w:r>
        <w:rPr>
          <w:spacing w:val="1"/>
        </w:rPr>
        <w:t> </w:t>
      </w:r>
      <w:r>
        <w:rPr/>
        <w:t>incorporate “sealed for life” bearings, are anti-vibration mounted to give an expected</w:t>
      </w:r>
      <w:r>
        <w:rPr>
          <w:spacing w:val="-76"/>
        </w:rPr>
        <w:t> </w:t>
      </w:r>
      <w:r>
        <w:rPr/>
        <w:t>life in excess of 40,000 running hours. Connection is via a plug in connector in the</w:t>
      </w:r>
      <w:r>
        <w:rPr>
          <w:spacing w:val="1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removed.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62" w:lineRule="exact" w:before="19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312" w:lineRule="exact"/>
        <w:ind w:left="686"/>
      </w:pPr>
      <w:r>
        <w:rPr/>
        <w:t>The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Series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factory</w:t>
      </w:r>
      <w:r>
        <w:rPr>
          <w:spacing w:val="-2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intelligent,</w:t>
      </w:r>
      <w:r>
        <w:rPr>
          <w:spacing w:val="-3"/>
        </w:rPr>
        <w:t> </w:t>
      </w:r>
      <w:r>
        <w:rPr/>
        <w:t>controller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features</w:t>
      </w:r>
    </w:p>
    <w:p>
      <w:pPr>
        <w:pStyle w:val="BodyText"/>
        <w:spacing w:line="320" w:lineRule="exact" w:before="14"/>
        <w:ind w:left="686"/>
      </w:pP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8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spacing w:before="5"/>
        <w:ind w:left="1045"/>
      </w:pPr>
      <w:r>
        <w:rPr/>
        <w:t>system.</w:t>
      </w:r>
    </w:p>
    <w:p>
      <w:pPr>
        <w:pStyle w:val="BodyText"/>
        <w:spacing w:before="219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8"/>
          <w:position w:val="1"/>
          <w:sz w:val="20"/>
        </w:rPr>
        <w:t> </w:t>
      </w:r>
      <w:r>
        <w:rPr>
          <w:position w:val="1"/>
        </w:rPr>
        <w:t>Electric</w:t>
      </w:r>
      <w:r>
        <w:rPr>
          <w:spacing w:val="-2"/>
          <w:position w:val="1"/>
        </w:rPr>
        <w:t> </w:t>
      </w:r>
      <w:r>
        <w:rPr>
          <w:position w:val="1"/>
        </w:rPr>
        <w:t>Heating</w:t>
      </w:r>
      <w:r>
        <w:rPr>
          <w:spacing w:val="-3"/>
          <w:position w:val="1"/>
        </w:rPr>
        <w:t> </w:t>
      </w:r>
      <w:r>
        <w:rPr>
          <w:position w:val="1"/>
        </w:rPr>
        <w:t>Elements</w:t>
      </w:r>
      <w:r>
        <w:rPr>
          <w:spacing w:val="-2"/>
          <w:position w:val="1"/>
        </w:rPr>
        <w:t> </w:t>
      </w:r>
      <w:r>
        <w:rPr>
          <w:position w:val="1"/>
        </w:rPr>
        <w:t>(Electric</w:t>
      </w:r>
      <w:r>
        <w:rPr>
          <w:spacing w:val="-3"/>
          <w:position w:val="1"/>
        </w:rPr>
        <w:t> </w:t>
      </w:r>
      <w:r>
        <w:rPr>
          <w:position w:val="1"/>
        </w:rPr>
        <w:t>Units</w:t>
      </w:r>
      <w:r>
        <w:rPr>
          <w:spacing w:val="-2"/>
          <w:position w:val="1"/>
        </w:rPr>
        <w:t> </w:t>
      </w:r>
      <w:r>
        <w:rPr>
          <w:position w:val="1"/>
        </w:rPr>
        <w:t>Only)</w:t>
      </w:r>
    </w:p>
    <w:p>
      <w:pPr>
        <w:pStyle w:val="BodyText"/>
        <w:spacing w:line="249" w:lineRule="auto" w:before="12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9"/>
      </w:pPr>
    </w:p>
    <w:p>
      <w:pPr>
        <w:pStyle w:val="BodyText"/>
        <w:spacing w:line="358" w:lineRule="exact" w:before="1"/>
        <w:ind w:left="719"/>
      </w:pPr>
      <w:r>
        <w:rPr>
          <w:position w:val="-9"/>
        </w:rPr>
        <w:drawing>
          <wp:inline distT="0" distB="0" distL="0" distR="0">
            <wp:extent cx="236296" cy="236296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4"/>
        </w:rPr>
        <w:t> </w:t>
      </w:r>
      <w:r>
        <w:rPr/>
        <w:t>Mounting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(Optional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/>
        <w:ind w:left="757" w:right="440"/>
      </w:pPr>
      <w:r>
        <w:rPr/>
        <w:t>Cold rolled and laser cut mild steel powder coated bracket finished to colour match the</w:t>
      </w:r>
      <w:r>
        <w:rPr>
          <w:spacing w:val="-75"/>
        </w:rPr>
        <w:t> </w:t>
      </w:r>
      <w:r>
        <w:rPr/>
        <w:t>unit’s</w:t>
      </w:r>
      <w:r>
        <w:rPr>
          <w:spacing w:val="-3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instructions.</w:t>
      </w:r>
    </w:p>
    <w:p>
      <w:pPr>
        <w:pStyle w:val="BodyText"/>
        <w:spacing w:before="212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3"/>
        </w:rPr>
        <w:t> </w:t>
      </w:r>
      <w:r>
        <w:rPr/>
        <w:t>Mounting</w:t>
      </w:r>
      <w:r>
        <w:rPr>
          <w:spacing w:val="-1"/>
        </w:rPr>
        <w:t> </w:t>
      </w:r>
      <w:r>
        <w:rPr/>
        <w:t>Bracket</w:t>
      </w:r>
      <w:r>
        <w:rPr>
          <w:spacing w:val="-2"/>
        </w:rPr>
        <w:t> </w:t>
      </w:r>
      <w:r>
        <w:rPr/>
        <w:t>((Optional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440"/>
      </w:pPr>
      <w:r>
        <w:rPr/>
        <w:t>Cold rolled and laser cut mild steel powder coated bracket finished to colour match the</w:t>
      </w:r>
      <w:r>
        <w:rPr>
          <w:spacing w:val="-75"/>
        </w:rPr>
        <w:t> </w:t>
      </w:r>
      <w:r>
        <w:rPr/>
        <w:t>unit’s</w:t>
      </w:r>
      <w:r>
        <w:rPr>
          <w:spacing w:val="-3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instructions.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line="261" w:lineRule="auto" w:before="10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3"/>
        <w:rPr>
          <w:rFonts w:ascii="Gotham"/>
          <w:b/>
          <w:sz w:val="25"/>
        </w:rPr>
      </w:pPr>
    </w:p>
    <w:p>
      <w:pPr>
        <w:spacing w:after="0"/>
        <w:rPr>
          <w:rFonts w:ascii="Gotham"/>
          <w:sz w:val="25"/>
        </w:rPr>
        <w:sectPr>
          <w:pgSz w:w="11910" w:h="16840"/>
          <w:pgMar w:top="140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4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spacing w:before="177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622.385986pt;width:596.3pt;height:220.05pt;mso-position-horizontal-relative:page;mso-position-vertical-relative:page;z-index:-15825408" id="docshapegroup11" coordorigin="-10,12448" coordsize="11926,4401">
            <v:rect style="position:absolute;left:10;top:12457;width:11896;height:2660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2457;width:11896;height:2660" id="docshape14" coordorigin="10,12458" coordsize="11896,2660" path="m11906,12458l10,12458,10,15117e" filled="false" stroked="true" strokeweight="1pt" strokecolor="#2b3b46">
              <v:path arrowok="t"/>
              <v:stroke dashstyle="solid"/>
            </v:shape>
            <v:shape style="position:absolute;left:1787;top:13431;width:764;height:694" type="#_x0000_t75" id="docshape15" stroked="false">
              <v:imagedata r:id="rId16" o:title=""/>
            </v:shape>
            <v:shape style="position:absolute;left:5701;top:13389;width:760;height:760" type="#_x0000_t75" id="docshape16" stroked="false">
              <v:imagedata r:id="rId17" o:title=""/>
            </v:shape>
            <v:shape style="position:absolute;left:9385;top:13375;width:760;height:760" type="#_x0000_t75" id="docshape17" stroked="false">
              <v:imagedata r:id="rId18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19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0" o:title=""/>
            </v:shape>
            <v:shape style="position:absolute;left:1092;top:15266;width:373;height:373" type="#_x0000_t75" id="docshape29" stroked="false">
              <v:imagedata r:id="rId20" o:title=""/>
            </v:shape>
            <v:shape style="position:absolute;left:1092;top:15744;width:373;height:373" type="#_x0000_t75" id="docshape30" stroked="false">
              <v:imagedata r:id="rId20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1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2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before="0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Helvetica">
    <w:altName w:val="Helvetic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NeueW01-66MediumIt">
    <w:altName w:val="HelveticaNeueW01-66MediumIt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thermoscreens.com/wp-content/uploads/2019/06/New_Thermoscreens_C-Series_Product-Brochure-UK_Web-4-2021.pdf" TargetMode="External"/><Relationship Id="rId15" Type="http://schemas.openxmlformats.org/officeDocument/2006/relationships/hyperlink" Target="https://thermoscreens.com/wp-content/uploads/2019/06/C-Series-Surface-Mounted-Manual-2021.pdf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yperlink" Target="mailto:SALES@THERMOSCREENS.COM" TargetMode="External"/><Relationship Id="rId22" Type="http://schemas.openxmlformats.org/officeDocument/2006/relationships/hyperlink" Target="http://www.thermoscreens.com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2022-01-21T09:55:39Z</dcterms:created>
  <dcterms:modified xsi:type="dcterms:W3CDTF">2022-01-21T09:55:39Z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2022-01-21T00:00:00Z</vt:filetime>
  </property>
</Properties>
</file>